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3DED45C7"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356C5">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084B02E7" w14:textId="1200E213" w:rsidR="00985507" w:rsidRPr="00297F9D" w:rsidRDefault="00985507" w:rsidP="00297F9D">
      <w:pPr>
        <w:spacing w:before="0"/>
        <w:rPr>
          <w:rFonts w:asciiTheme="majorHAnsi" w:hAnsiTheme="majorHAnsi" w:cs="Times New Roman"/>
          <w:bCs/>
          <w:lang w:eastAsia="cs-CZ"/>
        </w:rPr>
      </w:pP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bookmarkStart w:id="0" w:name="_GoBack"/>
      <w:bookmarkEnd w:id="0"/>
    </w:p>
    <w:p w14:paraId="3A44472F" w14:textId="145A12BB" w:rsidR="004E1498" w:rsidRPr="004E1498" w:rsidRDefault="004E1498" w:rsidP="00297F9D">
      <w:pPr>
        <w:pStyle w:val="Identifikace"/>
      </w:pPr>
      <w:r w:rsidRPr="00F076A0">
        <w:t xml:space="preserve">zastoupená </w:t>
      </w:r>
      <w:r w:rsidR="001D6882">
        <w:rPr>
          <w:rFonts w:ascii="Calibri" w:hAnsi="Calibri"/>
          <w:b/>
          <w:sz w:val="22"/>
          <w:szCs w:val="22"/>
        </w:rPr>
        <w:t>Bc. Jiřím Svobodou, MBA,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0E8A400E" w:rsidR="006062F9" w:rsidRPr="006062F9" w:rsidRDefault="004E1498" w:rsidP="00297F9D">
      <w:pPr>
        <w:pStyle w:val="Preambule"/>
      </w:pPr>
      <w:r w:rsidRPr="004E1498">
        <w:t xml:space="preserve">Tato </w:t>
      </w:r>
      <w:r w:rsidR="00854789">
        <w:t>Smlou</w:t>
      </w:r>
      <w:r w:rsidRPr="004E1498">
        <w:t xml:space="preserve">va je uzavřena na základě </w:t>
      </w:r>
      <w:r w:rsidRPr="001D6882">
        <w:t xml:space="preserve">výsledků </w:t>
      </w:r>
      <w:r w:rsidR="00AE74AE" w:rsidRPr="001D6882">
        <w:t>výběrového</w:t>
      </w:r>
      <w:r w:rsidRPr="001D6882">
        <w:t xml:space="preserve"> řízení</w:t>
      </w:r>
      <w:r w:rsidRPr="004E1498">
        <w:t xml:space="preserve"> veřejné zakázky s názvem </w:t>
      </w:r>
      <w:r w:rsidR="006062F9" w:rsidRPr="00297F9D">
        <w:t>„</w:t>
      </w:r>
      <w:r w:rsidR="001D6882">
        <w:rPr>
          <w:b/>
        </w:rPr>
        <w:t>Monitoring médií</w:t>
      </w:r>
      <w:r w:rsidR="006062F9" w:rsidRPr="006062F9">
        <w:t xml:space="preserve">“, č. j. veřejné zakázky: </w:t>
      </w:r>
      <w:r w:rsidR="001D6882">
        <w:t>14505/2024-SŽ-GŘ-O8</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494D41E9" w:rsidR="004E1498" w:rsidRPr="001D6882" w:rsidRDefault="004E1498" w:rsidP="00321172">
      <w:pPr>
        <w:pStyle w:val="Nadpis2"/>
        <w:widowControl w:val="0"/>
      </w:pPr>
      <w:r w:rsidRPr="006062F9">
        <w:t xml:space="preserve">Předmětem </w:t>
      </w:r>
      <w:r w:rsidR="00E73DA0" w:rsidRPr="001D6882">
        <w:t>služeb</w:t>
      </w:r>
      <w:r w:rsidRPr="001D6882">
        <w:t xml:space="preserve"> je</w:t>
      </w:r>
      <w:r w:rsidR="001D6882" w:rsidRPr="001D6882">
        <w:t xml:space="preserve"> monitoring médií, který je nutným nástrojem ke sledování mediálního obrazu společnosti Správa železnic, státní organizace</w:t>
      </w:r>
      <w:r w:rsidR="006062F9" w:rsidRPr="001D6882">
        <w:t>.</w:t>
      </w:r>
    </w:p>
    <w:p w14:paraId="31E5226B" w14:textId="2B220218" w:rsidR="004E1498" w:rsidRPr="00D96718" w:rsidRDefault="004E1498" w:rsidP="00321172">
      <w:pPr>
        <w:pStyle w:val="Nadpis2"/>
        <w:widowControl w:val="0"/>
        <w:rPr>
          <w:rFonts w:asciiTheme="majorHAnsi" w:hAnsiTheme="majorHAnsi"/>
        </w:rPr>
      </w:pPr>
      <w:r w:rsidRPr="00D96718">
        <w:t xml:space="preserve">Předmět </w:t>
      </w:r>
      <w:r w:rsidR="00E73DA0" w:rsidRPr="00D96718">
        <w:t>služeb</w:t>
      </w:r>
      <w:r w:rsidRPr="00D96718">
        <w:t xml:space="preserve"> je blíže specifikován v</w:t>
      </w:r>
      <w:r w:rsidR="006062F9" w:rsidRPr="00D96718">
        <w:t> bližší specifikaci předmětu plnění</w:t>
      </w:r>
      <w:r w:rsidR="0086114C" w:rsidRPr="00D96718">
        <w:t>,</w:t>
      </w:r>
      <w:r w:rsidRPr="00D96718">
        <w:t xml:space="preserve"> která je přílohou </w:t>
      </w:r>
      <w:r w:rsidR="006F7CD7" w:rsidRPr="00D96718">
        <w:rPr>
          <w:rFonts w:asciiTheme="majorHAnsi" w:hAnsiTheme="majorHAnsi"/>
        </w:rPr>
        <w:t xml:space="preserve">č. </w:t>
      </w:r>
      <w:r w:rsidR="001D6882" w:rsidRPr="00D96718">
        <w:rPr>
          <w:rFonts w:asciiTheme="majorHAnsi" w:hAnsiTheme="majorHAnsi"/>
        </w:rPr>
        <w:t>2</w:t>
      </w:r>
      <w:r w:rsidR="006062F9" w:rsidRPr="00D96718">
        <w:rPr>
          <w:rFonts w:asciiTheme="majorHAnsi" w:hAnsiTheme="majorHAnsi"/>
        </w:rPr>
        <w:t xml:space="preserve"> </w:t>
      </w:r>
      <w:r w:rsidRPr="00D96718">
        <w:rPr>
          <w:rFonts w:asciiTheme="majorHAnsi" w:hAnsiTheme="majorHAnsi"/>
        </w:rPr>
        <w:t xml:space="preserve">této </w:t>
      </w:r>
      <w:r w:rsidR="0063745A" w:rsidRPr="00D96718">
        <w:rPr>
          <w:rFonts w:asciiTheme="majorHAnsi" w:hAnsiTheme="majorHAnsi"/>
        </w:rPr>
        <w:t>Smlou</w:t>
      </w:r>
      <w:r w:rsidRPr="00D96718">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lastRenderedPageBreak/>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459714E2" w14:textId="3263EEDF" w:rsidR="0037595C" w:rsidRPr="0037595C" w:rsidRDefault="0037595C" w:rsidP="00297F9D">
      <w:pPr>
        <w:pStyle w:val="Nadpis2"/>
        <w:rPr>
          <w:rFonts w:cs="Calibri"/>
          <w:bCs/>
        </w:rPr>
      </w:pPr>
      <w:r w:rsidRPr="003D40CA">
        <w:rPr>
          <w:rFonts w:cs="Calibri"/>
          <w:bCs/>
        </w:rPr>
        <w:t xml:space="preserve">Cena za Předmět </w:t>
      </w:r>
      <w:r>
        <w:rPr>
          <w:rFonts w:cs="Calibri"/>
          <w:bCs/>
        </w:rPr>
        <w:t>služeb</w:t>
      </w:r>
      <w:r w:rsidRPr="003D40CA">
        <w:rPr>
          <w:rFonts w:cs="Calibri"/>
          <w:bCs/>
        </w:rPr>
        <w:t xml:space="preserve"> je sjednána v souladu s nabídkovou cenou, kterou Poskytovatel uvedl ve své nabídce k Veřejné zakázce.</w:t>
      </w:r>
    </w:p>
    <w:p w14:paraId="34846C50" w14:textId="335370AF" w:rsidR="0037595C" w:rsidRDefault="00141C9A" w:rsidP="003D40CA">
      <w:pPr>
        <w:pStyle w:val="Nadpis2"/>
      </w:pPr>
      <w:r w:rsidRPr="0037595C">
        <w:rPr>
          <w:rFonts w:cs="Calibri"/>
        </w:rPr>
        <w:t>Cena</w:t>
      </w:r>
      <w:r>
        <w:t xml:space="preserve"> za </w:t>
      </w:r>
      <w:r w:rsidR="005532FD">
        <w:t xml:space="preserve">Předmět </w:t>
      </w:r>
      <w:r>
        <w:t xml:space="preserve">služeb je uvedena v příloze č. </w:t>
      </w:r>
      <w:r w:rsidR="001D6882">
        <w:t>3</w:t>
      </w:r>
      <w:r>
        <w:t xml:space="preserve"> této Smlouvy.</w:t>
      </w:r>
      <w:r w:rsidR="0037595C">
        <w:t xml:space="preserve"> DPH může být uplatněna v rozdílné výši, než je uvedeno v závislosti na platných právních předpisech k d</w:t>
      </w:r>
      <w:r w:rsidR="005532FD">
        <w:t>atu</w:t>
      </w:r>
      <w:r w:rsidR="0037595C">
        <w:t xml:space="preserve"> </w:t>
      </w:r>
      <w:r w:rsidR="005532FD">
        <w:t xml:space="preserve">uskutečnění </w:t>
      </w:r>
      <w:r w:rsidR="0037595C">
        <w:t>zdanitelného plnění, v takovém případě není zapotřebí uzavírat dodatek k této Smlouvě.</w:t>
      </w:r>
    </w:p>
    <w:p w14:paraId="573C094F" w14:textId="7B2D5D73" w:rsidR="0037595C" w:rsidRDefault="0037595C" w:rsidP="003D40CA">
      <w:pPr>
        <w:pStyle w:val="Nadpis2"/>
      </w:pPr>
      <w:r>
        <w:t>Cena je výslovně sjednávána jako nejvyšší možná a nepřekročitelná.</w:t>
      </w:r>
    </w:p>
    <w:p w14:paraId="23A2FF24" w14:textId="77777777" w:rsidR="006062F9" w:rsidRPr="006062F9" w:rsidRDefault="006062F9" w:rsidP="00297F9D">
      <w:pPr>
        <w:pStyle w:val="Nadpis1"/>
      </w:pPr>
      <w:r w:rsidRPr="006062F9">
        <w:t xml:space="preserve">Fakturace </w:t>
      </w:r>
    </w:p>
    <w:p w14:paraId="2D85D3E0" w14:textId="47FA9FD8" w:rsidR="006062F9" w:rsidRDefault="006062F9" w:rsidP="005532FD">
      <w:pPr>
        <w:pStyle w:val="Nadpis2"/>
      </w:pPr>
      <w:r w:rsidRPr="003D40CA">
        <w:t xml:space="preserve">Fakturace za </w:t>
      </w:r>
      <w:r w:rsidR="005370F5" w:rsidRPr="003D40CA">
        <w:t>proveden</w:t>
      </w:r>
      <w:r w:rsidR="005370F5">
        <w:t>ý</w:t>
      </w:r>
      <w:r w:rsidR="005370F5" w:rsidRPr="003D40CA">
        <w:t xml:space="preserve"> </w:t>
      </w:r>
      <w:r w:rsidR="005370F5">
        <w:t xml:space="preserve">Předmět </w:t>
      </w:r>
      <w:r w:rsidR="005370F5" w:rsidRPr="003D40CA">
        <w:rPr>
          <w:rFonts w:cs="Calibri"/>
        </w:rPr>
        <w:t>služ</w:t>
      </w:r>
      <w:r w:rsidR="005370F5">
        <w:rPr>
          <w:rFonts w:cs="Calibri"/>
        </w:rPr>
        <w:t>eb</w:t>
      </w:r>
      <w:r w:rsidR="005370F5" w:rsidRPr="003D40CA">
        <w:rPr>
          <w:rFonts w:cs="Calibri"/>
          <w:b/>
        </w:rPr>
        <w:t xml:space="preserve"> </w:t>
      </w:r>
      <w:r w:rsidRPr="003D40CA">
        <w:t xml:space="preserve">bude </w:t>
      </w:r>
      <w:r w:rsidR="00117475" w:rsidRPr="003D40CA">
        <w:t xml:space="preserve">prováděna </w:t>
      </w:r>
      <w:r w:rsidR="00117475">
        <w:t xml:space="preserve">měsíčně zpětně </w:t>
      </w:r>
      <w:r w:rsidRPr="003D40CA">
        <w:t>na základě faktury vystavené Poskytovatelem</w:t>
      </w:r>
      <w:r w:rsidR="00117475">
        <w:t xml:space="preserve"> po předání dokončených</w:t>
      </w:r>
      <w:r w:rsidRPr="003D40CA">
        <w:t xml:space="preserve"> služeb a </w:t>
      </w:r>
      <w:r w:rsidR="00871585">
        <w:t xml:space="preserve">jejich </w:t>
      </w:r>
      <w:r w:rsidRPr="003D40CA">
        <w:t>převzetí ze strany Objednatele.</w:t>
      </w:r>
    </w:p>
    <w:p w14:paraId="623862F7" w14:textId="513CC1CC" w:rsidR="005532FD" w:rsidRPr="003D40CA" w:rsidRDefault="005532FD" w:rsidP="003D40CA">
      <w:pPr>
        <w:pStyle w:val="Nadpis2"/>
      </w:pPr>
      <w:r w:rsidRPr="005532FD">
        <w:t>Splatnost faktury činí 30 dnů od jejího doručení Objednateli.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142CCA49" w:rsidR="004E1498" w:rsidRPr="006062F9" w:rsidRDefault="004E1498" w:rsidP="00321172">
      <w:pPr>
        <w:pStyle w:val="Nadpis2"/>
        <w:widowControl w:val="0"/>
      </w:pPr>
      <w:r w:rsidRPr="006062F9">
        <w:t>Místem plnění je</w:t>
      </w:r>
      <w:r w:rsidR="006062F9" w:rsidRPr="006062F9">
        <w:t xml:space="preserve"> </w:t>
      </w:r>
      <w:r w:rsidR="001D6882" w:rsidRPr="003D40CA">
        <w:t>Česk</w:t>
      </w:r>
      <w:r w:rsidR="005370F5" w:rsidRPr="003D40CA">
        <w:t>á</w:t>
      </w:r>
      <w:r w:rsidR="001D6882" w:rsidRPr="003D40CA">
        <w:t xml:space="preserve"> </w:t>
      </w:r>
      <w:r w:rsidR="005370F5" w:rsidRPr="003D40CA">
        <w:t>republika</w:t>
      </w:r>
      <w:r w:rsidR="00B66E16" w:rsidRPr="003D40CA">
        <w:t>.</w:t>
      </w:r>
    </w:p>
    <w:p w14:paraId="4AE0DFE4" w14:textId="60DF4A13"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5532FD" w:rsidRPr="005532FD">
        <w:t xml:space="preserve"> po dobu 36 měsíců</w:t>
      </w:r>
      <w:r w:rsidR="004E1498" w:rsidRPr="006062F9">
        <w:t xml:space="preserve"> </w:t>
      </w:r>
      <w:r w:rsidR="006062F9" w:rsidRPr="006062F9">
        <w:t>od</w:t>
      </w:r>
      <w:r w:rsidR="00571E0A">
        <w:t>e dne nabytí</w:t>
      </w:r>
      <w:r w:rsidR="006062F9" w:rsidRPr="006062F9">
        <w:t xml:space="preserve"> účinnosti této Smlouvy</w:t>
      </w:r>
      <w:r w:rsidR="00571E0A">
        <w:t>, ne</w:t>
      </w:r>
      <w:r w:rsidR="00993267">
        <w:t>jdříve</w:t>
      </w:r>
      <w:r w:rsidR="00571E0A">
        <w:t xml:space="preserve"> však </w:t>
      </w:r>
      <w:r w:rsidR="00993267">
        <w:t>od</w:t>
      </w:r>
      <w:r w:rsidR="00571E0A">
        <w:t xml:space="preserve"> 27. 4. 2024</w:t>
      </w:r>
      <w:r w:rsidR="006062F9" w:rsidRPr="006062F9">
        <w:t>.</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748650F1"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137DE9">
        <w:t>4</w:t>
      </w:r>
      <w:r>
        <w:t xml:space="preserve"> této S</w:t>
      </w:r>
      <w:r w:rsidRPr="004E1498">
        <w:t xml:space="preserve">mlouvy. </w:t>
      </w:r>
    </w:p>
    <w:p w14:paraId="0B49AA5D" w14:textId="19F437F8"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137DE9">
        <w:rPr>
          <w:rFonts w:eastAsia="Times New Roman" w:cs="Times New Roman"/>
          <w:highlight w:val="green"/>
          <w:lang w:eastAsia="cs-CZ"/>
        </w:rPr>
        <w:t>6</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66CC934F" w14:textId="79A90824" w:rsidR="00993267" w:rsidRPr="00993267" w:rsidRDefault="00993267" w:rsidP="003D40CA">
      <w:pPr>
        <w:pStyle w:val="Nadpis2"/>
      </w:pPr>
      <w:r w:rsidRPr="00993267">
        <w:t xml:space="preserve">Rovnocenné podmínky v rámci poddodavatelského řetězce </w:t>
      </w:r>
    </w:p>
    <w:p w14:paraId="513C1AC2" w14:textId="6D5D36AB" w:rsidR="00993267" w:rsidRPr="00993267" w:rsidRDefault="00993267" w:rsidP="003D40CA">
      <w:pPr>
        <w:pStyle w:val="odstaveca"/>
        <w:ind w:left="851" w:hanging="425"/>
      </w:pPr>
      <w:r w:rsidRPr="00993267">
        <w:t>Poskytovatel se zavazuje ujednat si s dalšími osobami, které se na jeho straně podílejí na plnění předmětu Smlouvy,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Smlouvy.</w:t>
      </w:r>
    </w:p>
    <w:p w14:paraId="09DB753F" w14:textId="6FDB5E26" w:rsidR="00993267" w:rsidRPr="00993267" w:rsidRDefault="00993267" w:rsidP="003D40CA">
      <w:pPr>
        <w:pStyle w:val="odstaveca"/>
        <w:ind w:left="851" w:hanging="425"/>
      </w:pPr>
      <w:r w:rsidRPr="00993267">
        <w:t>Poskytovatel se zavazuje uhradit smluvní pokutu ve výši 5 000 Kč za každý, byť i započatý, den prodlení se splněním povinnosti předložit smluvní dokumentaci dle předchozího odstavce Smlouvy. Poskytovatel se dále zavazuje uhradit smluvní pokutu ve výši 5 000 Kč za každý</w:t>
      </w:r>
      <w:r w:rsidR="00645AE0">
        <w:t>,</w:t>
      </w:r>
      <w:r w:rsidRPr="00993267">
        <w:t xml:space="preserve"> byť i započatý</w:t>
      </w:r>
      <w:r w:rsidR="00645AE0">
        <w:t>,</w:t>
      </w:r>
      <w:r w:rsidRPr="00993267">
        <w:t xml:space="preserve">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 </w:t>
      </w:r>
    </w:p>
    <w:p w14:paraId="776FF679" w14:textId="0E44012B" w:rsidR="00993267" w:rsidRDefault="00993267" w:rsidP="003D40CA">
      <w:pPr>
        <w:pStyle w:val="odstaveca"/>
        <w:ind w:left="851" w:hanging="425"/>
      </w:pPr>
      <w:r w:rsidRPr="00993267">
        <w:t xml:space="preserve">V případě dlouhodobého a závažného porušování povinností Poskytovatele v oblasti rovnocenných podmínek v rámci poddodavatelského řetězce je Objednatel </w:t>
      </w:r>
      <w:r w:rsidRPr="00993267">
        <w:lastRenderedPageBreak/>
        <w:t>oprávněn od této smlouvy odstoupit. Dlouhodobým a závažným porušováním této smlouvy v oblasti rovnocenných podmínek v rámci poddodavatelského řetězce se rozumí prodlení s povinností smluvní dokumentaci dle odst. a) Smlouvy po dobu delší než 30 dnů. Odstoupení od smlouvy z jiných důvodů a nárok na zaplacení smluvní pokuty tím nejsou nijak dotčeny.</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27D0B5B3" w14:textId="54B62DAE" w:rsidR="00B662B0" w:rsidRDefault="00B662B0" w:rsidP="00321172">
      <w:pPr>
        <w:pStyle w:val="Nadpis2"/>
        <w:widowControl w:val="0"/>
      </w:pPr>
      <w:r>
        <w:t>Objednatel je oprávněn Smlouvu vypovědět bez udání důvodu</w:t>
      </w:r>
      <w:r w:rsidR="004E1498" w:rsidRPr="006062F9">
        <w:t xml:space="preserve"> </w:t>
      </w:r>
      <w:r>
        <w:t>s výpovědní dobou tří měsíců, která začne běžet první den kalendářního měsíce následujícího po kalendářním měsíci, ve kterém byla výpověď doručena Poskytovateli.</w:t>
      </w:r>
    </w:p>
    <w:p w14:paraId="739753B3" w14:textId="67E719AB"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w:t>
      </w:r>
      <w:r w:rsidRPr="006062F9">
        <w:rPr>
          <w:rFonts w:eastAsia="Calibri"/>
        </w:rPr>
        <w:lastRenderedPageBreak/>
        <w:t>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4A642124" w:rsidR="00CE287A" w:rsidRPr="002650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proofErr w:type="gramStart"/>
      <w:r w:rsidRPr="002650F0">
        <w:t xml:space="preserve">odstavci </w:t>
      </w:r>
      <w:r w:rsidR="00EF66C8" w:rsidRPr="002650F0">
        <w:fldChar w:fldCharType="begin"/>
      </w:r>
      <w:r w:rsidR="00EF66C8" w:rsidRPr="002650F0">
        <w:instrText xml:space="preserve"> REF _Ref156815329 \r \h </w:instrText>
      </w:r>
      <w:r w:rsidR="00D672A0" w:rsidRPr="002650F0">
        <w:instrText xml:space="preserve"> \* MERGEFORMAT </w:instrText>
      </w:r>
      <w:r w:rsidR="00EF66C8" w:rsidRPr="002650F0">
        <w:fldChar w:fldCharType="separate"/>
      </w:r>
      <w:r w:rsidR="002650F0" w:rsidRPr="002650F0">
        <w:t>8.5</w:t>
      </w:r>
      <w:r w:rsidR="00EF66C8" w:rsidRPr="002650F0">
        <w:fldChar w:fldCharType="end"/>
      </w:r>
      <w:r w:rsidRPr="002650F0">
        <w:t xml:space="preserve"> této</w:t>
      </w:r>
      <w:proofErr w:type="gramEnd"/>
      <w:r w:rsidRPr="002650F0">
        <w:t xml:space="preserve"> Smlouvy (dále jen „</w:t>
      </w:r>
      <w:r w:rsidRPr="002650F0">
        <w:rPr>
          <w:rStyle w:val="Kurzvatun"/>
          <w:rFonts w:eastAsiaTheme="minorHAnsi"/>
        </w:rPr>
        <w:t>Sankční seznamy</w:t>
      </w:r>
      <w:r w:rsidRPr="002650F0">
        <w:t>“)</w:t>
      </w:r>
      <w:r w:rsidR="00CE287A" w:rsidRPr="002650F0">
        <w:t>.</w:t>
      </w:r>
    </w:p>
    <w:p w14:paraId="44062D2C" w14:textId="039E7764" w:rsidR="00CE287A" w:rsidRDefault="00CE287A" w:rsidP="00321172">
      <w:pPr>
        <w:pStyle w:val="Nadpis2"/>
        <w:widowControl w:val="0"/>
      </w:pPr>
      <w:r w:rsidRPr="002650F0">
        <w:t xml:space="preserve">Je-li </w:t>
      </w:r>
      <w:r w:rsidR="004F5497" w:rsidRPr="002650F0">
        <w:t>Poskytovatelem</w:t>
      </w:r>
      <w:r w:rsidRPr="002650F0">
        <w:t xml:space="preserve"> sdružení více osob, platí podmínky dle odstavce </w:t>
      </w:r>
      <w:r w:rsidR="001D6882" w:rsidRPr="002650F0">
        <w:t>8</w:t>
      </w:r>
      <w:r w:rsidRPr="002650F0">
        <w:t xml:space="preserve">.1 a </w:t>
      </w:r>
      <w:r w:rsidR="001D6882" w:rsidRPr="002650F0">
        <w:t>8</w:t>
      </w:r>
      <w:r w:rsidRPr="002650F0">
        <w:t xml:space="preserve">.2 této </w:t>
      </w:r>
      <w:r w:rsidRPr="002650F0">
        <w:lastRenderedPageBreak/>
        <w:t xml:space="preserve">Smlouvy také </w:t>
      </w:r>
      <w:r w:rsidRPr="002650F0">
        <w:rPr>
          <w:rFonts w:eastAsia="Calibri"/>
        </w:rPr>
        <w:t>jednotlivě</w:t>
      </w:r>
      <w:r w:rsidRPr="002650F0">
        <w:t xml:space="preserve"> pro všechny osoby v rámci </w:t>
      </w:r>
      <w:r w:rsidR="004F5497" w:rsidRPr="002650F0">
        <w:t>Poskytovatele</w:t>
      </w:r>
      <w:r w:rsidRPr="002650F0">
        <w:t xml:space="preserve"> </w:t>
      </w:r>
      <w:r w:rsidR="001369A0" w:rsidRPr="002650F0">
        <w:t>sdružené,</w:t>
      </w:r>
      <w:r w:rsidRPr="002650F0">
        <w:t xml:space="preserve"> a to bez</w:t>
      </w:r>
      <w:r>
        <w:t xml:space="preserve">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1"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1"/>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2"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2650F0">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1153AA63" w:rsidR="00604869" w:rsidRDefault="00604869" w:rsidP="00297F9D">
      <w:pPr>
        <w:pStyle w:val="Nadpis2"/>
      </w:pPr>
      <w:r>
        <w:t xml:space="preserve">Správa železnic, státní organizace, má výše uvedené dokumenty k dispozici na webových stránkách: </w:t>
      </w:r>
      <w:hyperlink r:id="rId11" w:history="1">
        <w:r w:rsidRPr="00604869">
          <w:rPr>
            <w:rStyle w:val="Hypertextovodkaz"/>
          </w:rPr>
          <w:t>https://www.spravazeleznic.cz/o-nas/nazadouci-jednani-a-boj-s-korupci</w:t>
        </w:r>
      </w:hyperlink>
      <w:r>
        <w:t>.</w:t>
      </w:r>
    </w:p>
    <w:p w14:paraId="38E21927" w14:textId="12B1D3A5"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D6882">
        <w:rPr>
          <w:highlight w:val="green"/>
        </w:rPr>
        <w:t>9</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650F0">
      <w:pPr>
        <w:pStyle w:val="odstaveca"/>
        <w:numPr>
          <w:ilvl w:val="0"/>
          <w:numId w:val="46"/>
        </w:numPr>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650F0">
      <w:pPr>
        <w:pStyle w:val="odstaveca"/>
      </w:pPr>
      <w:r w:rsidRPr="004E1498">
        <w:lastRenderedPageBreak/>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7BF755EE"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w:t>
      </w:r>
      <w:r w:rsidR="00AC576B">
        <w:t xml:space="preserve">vzestupně číslovanými </w:t>
      </w:r>
      <w:r w:rsidRPr="004E1498">
        <w:t>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24A8BB84" w14:textId="2B3AC68A" w:rsidR="00B66E16" w:rsidRPr="002650F0" w:rsidRDefault="00B66E16" w:rsidP="00321172">
      <w:pPr>
        <w:pStyle w:val="Nadpis2"/>
        <w:widowControl w:val="0"/>
      </w:pPr>
      <w:r w:rsidRPr="002650F0">
        <w:rPr>
          <w:rFonts w:eastAsia="Calibri"/>
        </w:rPr>
        <w:t xml:space="preserve">Tato Smlouva nabývá platnosti dnem jejího podpisu poslední ze Smluvních stran a účinnosti </w:t>
      </w:r>
      <w:r w:rsidR="00A67E11" w:rsidRPr="002650F0">
        <w:rPr>
          <w:rFonts w:eastAsia="Calibri"/>
          <w:iCs/>
        </w:rPr>
        <w:t>dne 27. 4. 2024</w:t>
      </w:r>
      <w:r w:rsidRPr="002650F0">
        <w:rPr>
          <w:rFonts w:eastAsia="Calibri"/>
        </w:rPr>
        <w:t>. Smlouva však nenabude účinnosti přede dnem uveřejnění v registru smluv podle ZRS.</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7A6FF15B" w:rsidR="00B66E16" w:rsidRPr="00645AE0" w:rsidRDefault="00B66E16" w:rsidP="00297F9D">
      <w:pPr>
        <w:pStyle w:val="Plohy"/>
      </w:pPr>
      <w:r w:rsidRPr="00645AE0">
        <w:t>Bližší specifikace</w:t>
      </w:r>
      <w:r w:rsidR="001D6882" w:rsidRPr="00645AE0">
        <w:t xml:space="preserve"> předmětu pln</w:t>
      </w:r>
      <w:r w:rsidR="00D96718" w:rsidRPr="00645AE0">
        <w:t>ě</w:t>
      </w:r>
      <w:r w:rsidR="001D6882" w:rsidRPr="00645AE0">
        <w:t>ní</w:t>
      </w:r>
      <w:r w:rsidR="00E77E76">
        <w:t xml:space="preserve"> </w:t>
      </w:r>
    </w:p>
    <w:p w14:paraId="3731E23D" w14:textId="6E150FB7" w:rsidR="00B66E16" w:rsidRPr="00645AE0" w:rsidRDefault="00985507" w:rsidP="00297F9D">
      <w:pPr>
        <w:pStyle w:val="Plohy"/>
      </w:pPr>
      <w:r w:rsidRPr="00645AE0">
        <w:t>Ceník</w:t>
      </w:r>
    </w:p>
    <w:p w14:paraId="7C809827" w14:textId="2B32627D"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731B7242" w14:textId="27A4F133" w:rsidR="00D45DE0" w:rsidRDefault="00D45DE0" w:rsidP="00297F9D">
      <w:pPr>
        <w:pStyle w:val="Zaobjednateleposkytovatele"/>
      </w:pPr>
      <w:r>
        <w:t>Za Objednatele:</w:t>
      </w:r>
      <w:r>
        <w:tab/>
      </w:r>
      <w:r>
        <w:tab/>
      </w:r>
      <w:r>
        <w:tab/>
      </w:r>
      <w:r>
        <w:tab/>
      </w:r>
      <w:r>
        <w:tab/>
        <w:t>Za Poskytovatele:</w:t>
      </w:r>
    </w:p>
    <w:p w14:paraId="600CC85A" w14:textId="77777777" w:rsidR="00D45DE0" w:rsidRDefault="00D45DE0" w:rsidP="00297F9D">
      <w:pPr>
        <w:pStyle w:val="Podpisovoprnn"/>
      </w:pPr>
      <w:r>
        <w:lastRenderedPageBreak/>
        <w:t>……………………………………………………</w:t>
      </w:r>
      <w:r>
        <w:tab/>
      </w:r>
      <w:r>
        <w:tab/>
      </w:r>
      <w:r>
        <w:tab/>
        <w:t>…………………………………………………</w:t>
      </w:r>
      <w:r>
        <w:tab/>
      </w:r>
      <w:r>
        <w:tab/>
      </w:r>
    </w:p>
    <w:p w14:paraId="656EFFE2" w14:textId="1C618A88" w:rsidR="00D45DE0" w:rsidRPr="00297F9D" w:rsidRDefault="001D6882" w:rsidP="00297F9D">
      <w:pPr>
        <w:jc w:val="left"/>
        <w:rPr>
          <w:rStyle w:val="Siln"/>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1D6882">
        <w:rPr>
          <w:rStyle w:val="Siln"/>
          <w:b w:val="0"/>
          <w:bCs w:val="0"/>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3E00F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7E05" w14:textId="77777777" w:rsidR="003E00F1" w:rsidRDefault="003E00F1" w:rsidP="00962258">
      <w:pPr>
        <w:spacing w:after="0" w:line="240" w:lineRule="auto"/>
      </w:pPr>
      <w:r>
        <w:separator/>
      </w:r>
    </w:p>
  </w:endnote>
  <w:endnote w:type="continuationSeparator" w:id="0">
    <w:p w14:paraId="192CC1F7" w14:textId="77777777" w:rsidR="003E00F1" w:rsidRDefault="003E00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9DA265D"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476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476B">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35965F6"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476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476B">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42FBA" w14:textId="77777777" w:rsidR="003E00F1" w:rsidRDefault="003E00F1" w:rsidP="00962258">
      <w:pPr>
        <w:spacing w:after="0" w:line="240" w:lineRule="auto"/>
      </w:pPr>
      <w:r>
        <w:separator/>
      </w:r>
    </w:p>
  </w:footnote>
  <w:footnote w:type="continuationSeparator" w:id="0">
    <w:p w14:paraId="1F5E14B1" w14:textId="77777777" w:rsidR="003E00F1" w:rsidRDefault="003E00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8"/>
  </w:num>
  <w:num w:numId="13">
    <w:abstractNumId w:val="19"/>
  </w:num>
  <w:num w:numId="14">
    <w:abstractNumId w:val="6"/>
  </w:num>
  <w:num w:numId="15">
    <w:abstractNumId w:val="22"/>
  </w:num>
  <w:num w:numId="16">
    <w:abstractNumId w:val="14"/>
  </w:num>
  <w:num w:numId="17">
    <w:abstractNumId w:val="9"/>
  </w:num>
  <w:num w:numId="18">
    <w:abstractNumId w:val="11"/>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0"/>
  </w:num>
  <w:num w:numId="39">
    <w:abstractNumId w:val="9"/>
  </w:num>
  <w:num w:numId="40">
    <w:abstractNumId w:val="4"/>
  </w:num>
  <w:num w:numId="41">
    <w:abstractNumId w:val="4"/>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757F"/>
    <w:rsid w:val="000356C5"/>
    <w:rsid w:val="00040B7E"/>
    <w:rsid w:val="00042631"/>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17475"/>
    <w:rsid w:val="0013379C"/>
    <w:rsid w:val="001369A0"/>
    <w:rsid w:val="00137DE9"/>
    <w:rsid w:val="00141C9A"/>
    <w:rsid w:val="001550BC"/>
    <w:rsid w:val="001605B9"/>
    <w:rsid w:val="00170EC5"/>
    <w:rsid w:val="001747C1"/>
    <w:rsid w:val="00184743"/>
    <w:rsid w:val="001A27EA"/>
    <w:rsid w:val="001D6882"/>
    <w:rsid w:val="001E3789"/>
    <w:rsid w:val="001F32C9"/>
    <w:rsid w:val="001F7617"/>
    <w:rsid w:val="00207DF5"/>
    <w:rsid w:val="002650F0"/>
    <w:rsid w:val="00272367"/>
    <w:rsid w:val="00280E07"/>
    <w:rsid w:val="00297F9D"/>
    <w:rsid w:val="002A6874"/>
    <w:rsid w:val="002C31BF"/>
    <w:rsid w:val="002D08B1"/>
    <w:rsid w:val="002E0CD7"/>
    <w:rsid w:val="002F28A1"/>
    <w:rsid w:val="003013FA"/>
    <w:rsid w:val="003071BD"/>
    <w:rsid w:val="00321172"/>
    <w:rsid w:val="00341DCF"/>
    <w:rsid w:val="003452CE"/>
    <w:rsid w:val="0034793D"/>
    <w:rsid w:val="003557CB"/>
    <w:rsid w:val="00357BC6"/>
    <w:rsid w:val="00364455"/>
    <w:rsid w:val="0037595C"/>
    <w:rsid w:val="003956C6"/>
    <w:rsid w:val="003A4D59"/>
    <w:rsid w:val="003B39EC"/>
    <w:rsid w:val="003D12BD"/>
    <w:rsid w:val="003D40CA"/>
    <w:rsid w:val="003D703A"/>
    <w:rsid w:val="003E00F1"/>
    <w:rsid w:val="003E082D"/>
    <w:rsid w:val="003F20D8"/>
    <w:rsid w:val="00406E13"/>
    <w:rsid w:val="00441430"/>
    <w:rsid w:val="00450F07"/>
    <w:rsid w:val="00453CD3"/>
    <w:rsid w:val="00460660"/>
    <w:rsid w:val="00466815"/>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2FA8"/>
    <w:rsid w:val="005370F5"/>
    <w:rsid w:val="00537B7A"/>
    <w:rsid w:val="005532FD"/>
    <w:rsid w:val="00553375"/>
    <w:rsid w:val="00571E0A"/>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45AE0"/>
    <w:rsid w:val="00660AD3"/>
    <w:rsid w:val="00677B7F"/>
    <w:rsid w:val="006A5570"/>
    <w:rsid w:val="006A689C"/>
    <w:rsid w:val="006B3D79"/>
    <w:rsid w:val="006C7697"/>
    <w:rsid w:val="006D696A"/>
    <w:rsid w:val="006D7AFE"/>
    <w:rsid w:val="006E0578"/>
    <w:rsid w:val="006E314D"/>
    <w:rsid w:val="006E3E36"/>
    <w:rsid w:val="006E6E61"/>
    <w:rsid w:val="006F7CD7"/>
    <w:rsid w:val="00702628"/>
    <w:rsid w:val="00705D26"/>
    <w:rsid w:val="007061F8"/>
    <w:rsid w:val="00706556"/>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71585"/>
    <w:rsid w:val="008819E9"/>
    <w:rsid w:val="00886D4B"/>
    <w:rsid w:val="00895406"/>
    <w:rsid w:val="008A3568"/>
    <w:rsid w:val="008B24C9"/>
    <w:rsid w:val="008D03B9"/>
    <w:rsid w:val="008E1E86"/>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92D9C"/>
    <w:rsid w:val="00993267"/>
    <w:rsid w:val="00996CB8"/>
    <w:rsid w:val="009A0078"/>
    <w:rsid w:val="009A396A"/>
    <w:rsid w:val="009B14A9"/>
    <w:rsid w:val="009B2E97"/>
    <w:rsid w:val="009C651E"/>
    <w:rsid w:val="009D3556"/>
    <w:rsid w:val="009E07F4"/>
    <w:rsid w:val="009F392E"/>
    <w:rsid w:val="00A02EE7"/>
    <w:rsid w:val="00A07644"/>
    <w:rsid w:val="00A44435"/>
    <w:rsid w:val="00A52B36"/>
    <w:rsid w:val="00A6177B"/>
    <w:rsid w:val="00A63FD5"/>
    <w:rsid w:val="00A66136"/>
    <w:rsid w:val="00A6738F"/>
    <w:rsid w:val="00A67E11"/>
    <w:rsid w:val="00AA4CBB"/>
    <w:rsid w:val="00AA65FA"/>
    <w:rsid w:val="00AA7351"/>
    <w:rsid w:val="00AB53C9"/>
    <w:rsid w:val="00AB6759"/>
    <w:rsid w:val="00AC576B"/>
    <w:rsid w:val="00AD056F"/>
    <w:rsid w:val="00AD6731"/>
    <w:rsid w:val="00AE74AE"/>
    <w:rsid w:val="00B07FB5"/>
    <w:rsid w:val="00B15D0D"/>
    <w:rsid w:val="00B34A8A"/>
    <w:rsid w:val="00B354A6"/>
    <w:rsid w:val="00B662B0"/>
    <w:rsid w:val="00B66E16"/>
    <w:rsid w:val="00B73583"/>
    <w:rsid w:val="00B75EE1"/>
    <w:rsid w:val="00B77481"/>
    <w:rsid w:val="00B8518B"/>
    <w:rsid w:val="00BB184D"/>
    <w:rsid w:val="00BB202D"/>
    <w:rsid w:val="00BC3B69"/>
    <w:rsid w:val="00BD7E91"/>
    <w:rsid w:val="00BF5E64"/>
    <w:rsid w:val="00C02D0A"/>
    <w:rsid w:val="00C03A6E"/>
    <w:rsid w:val="00C12CB0"/>
    <w:rsid w:val="00C25494"/>
    <w:rsid w:val="00C31C15"/>
    <w:rsid w:val="00C44F6A"/>
    <w:rsid w:val="00C46EB4"/>
    <w:rsid w:val="00C47AE3"/>
    <w:rsid w:val="00C916C5"/>
    <w:rsid w:val="00CD1FC4"/>
    <w:rsid w:val="00CE287A"/>
    <w:rsid w:val="00CE58FD"/>
    <w:rsid w:val="00CF484D"/>
    <w:rsid w:val="00D07EFE"/>
    <w:rsid w:val="00D21061"/>
    <w:rsid w:val="00D4108E"/>
    <w:rsid w:val="00D4476B"/>
    <w:rsid w:val="00D45DE0"/>
    <w:rsid w:val="00D6163D"/>
    <w:rsid w:val="00D61CD5"/>
    <w:rsid w:val="00D672A0"/>
    <w:rsid w:val="00D831A3"/>
    <w:rsid w:val="00D85C5B"/>
    <w:rsid w:val="00D96718"/>
    <w:rsid w:val="00DB03B5"/>
    <w:rsid w:val="00DB295F"/>
    <w:rsid w:val="00DC75F3"/>
    <w:rsid w:val="00DD46F3"/>
    <w:rsid w:val="00DE04E2"/>
    <w:rsid w:val="00DE56F2"/>
    <w:rsid w:val="00DF116D"/>
    <w:rsid w:val="00DF12E7"/>
    <w:rsid w:val="00E174B0"/>
    <w:rsid w:val="00E2730E"/>
    <w:rsid w:val="00E64568"/>
    <w:rsid w:val="00E73DA0"/>
    <w:rsid w:val="00E77E76"/>
    <w:rsid w:val="00EA345D"/>
    <w:rsid w:val="00EB104F"/>
    <w:rsid w:val="00ED14BD"/>
    <w:rsid w:val="00EF1804"/>
    <w:rsid w:val="00EF22D9"/>
    <w:rsid w:val="00EF66C8"/>
    <w:rsid w:val="00F0533E"/>
    <w:rsid w:val="00F076A0"/>
    <w:rsid w:val="00F1048D"/>
    <w:rsid w:val="00F12DEC"/>
    <w:rsid w:val="00F1715C"/>
    <w:rsid w:val="00F310F8"/>
    <w:rsid w:val="00F333B9"/>
    <w:rsid w:val="00F35939"/>
    <w:rsid w:val="00F45607"/>
    <w:rsid w:val="00F659EB"/>
    <w:rsid w:val="00F664E5"/>
    <w:rsid w:val="00F81B99"/>
    <w:rsid w:val="00F86BA6"/>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customStyle="1" w:styleId="UnresolvedMention">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4e4a6a96-f3e4-483d-987d-304999e1d579"/>
    <ds:schemaRef ds:uri="http://www.w3.org/XML/1998/namespace"/>
    <ds:schemaRef ds:uri="http://purl.org/dc/dcmitype/"/>
  </ds:schemaRefs>
</ds:datastoreItem>
</file>

<file path=customXml/itemProps3.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C35C4E-5C16-40A1-A21B-6F812A03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2394</Words>
  <Characters>14130</Characters>
  <Application>Microsoft Office Word</Application>
  <DocSecurity>0</DocSecurity>
  <Lines>117</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3</cp:revision>
  <cp:lastPrinted>2017-11-28T17:18:00Z</cp:lastPrinted>
  <dcterms:created xsi:type="dcterms:W3CDTF">2024-03-08T09:01:00Z</dcterms:created>
  <dcterms:modified xsi:type="dcterms:W3CDTF">2024-03-08T09:01:00Z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